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Arial Unicode MS" w:hAnsi="Arial Unicode MS" w:eastAsia="Arial Unicode MS" w:cs="Arial Unicode MS"/>
          <w:bCs/>
          <w:sz w:val="36"/>
          <w:szCs w:val="36"/>
        </w:rPr>
      </w:pPr>
      <w:r>
        <w:rPr>
          <w:rFonts w:hint="eastAsia" w:ascii="Arial Unicode MS" w:hAnsi="Arial Unicode MS" w:eastAsia="Arial Unicode MS" w:cs="Arial Unicode MS"/>
          <w:bCs/>
          <w:sz w:val="36"/>
          <w:szCs w:val="36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Cs/>
          <w:sz w:val="36"/>
          <w:szCs w:val="32"/>
        </w:rPr>
      </w:pPr>
      <w:r>
        <w:rPr>
          <w:rFonts w:hint="eastAsia" w:ascii="Arial Unicode MS" w:hAnsi="Arial Unicode MS" w:eastAsia="Arial Unicode MS" w:cs="Arial Unicode MS"/>
          <w:bCs/>
          <w:sz w:val="36"/>
          <w:szCs w:val="36"/>
        </w:rPr>
        <w:t>第二届非常规油气藏开发与油气藏动态监测技术研讨会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Cs/>
          <w:sz w:val="36"/>
          <w:szCs w:val="32"/>
        </w:rPr>
      </w:pPr>
      <w:r>
        <w:rPr>
          <w:rFonts w:hint="eastAsia" w:ascii="Arial Unicode MS" w:hAnsi="Arial Unicode MS" w:eastAsia="Arial Unicode MS" w:cs="Arial Unicode MS"/>
          <w:bCs/>
          <w:sz w:val="36"/>
          <w:szCs w:val="32"/>
        </w:rPr>
        <w:t>参会回执表</w:t>
      </w:r>
    </w:p>
    <w:tbl>
      <w:tblPr>
        <w:tblStyle w:val="3"/>
        <w:tblpPr w:leftFromText="180" w:rightFromText="180" w:vertAnchor="text" w:horzAnchor="page" w:tblpX="1564" w:tblpY="78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1"/>
        <w:gridCol w:w="850"/>
        <w:gridCol w:w="1560"/>
        <w:gridCol w:w="1417"/>
        <w:gridCol w:w="1571"/>
        <w:gridCol w:w="21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部门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邮编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研究领域与方向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376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论文题目</w:t>
            </w: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237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376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代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表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职务/职称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固定电话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手机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  <w:r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  <w:t>E-mail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说明：将此表发至：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  <w:u w:val="none"/>
              </w:rPr>
              <w:instrText xml:space="preserve"> HYPERLINK "mailto:zgsyxh01@163.com" </w:instrTex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Style w:val="5"/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  <w:u w:val="none"/>
              </w:rPr>
              <w:t>zgsyxh01@163.com</w:t>
            </w:r>
            <w:r>
              <w:rPr>
                <w:rFonts w:hint="eastAsia" w:ascii="Arial Unicode MS" w:hAnsi="Arial Unicode MS" w:eastAsia="Arial Unicode MS" w:cs="Arial Unicode MS"/>
                <w:color w:val="000000"/>
                <w:sz w:val="28"/>
                <w:szCs w:val="28"/>
                <w:u w:val="none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eastAsia" w:ascii="Arial Unicode MS" w:hAnsi="Arial Unicode MS" w:eastAsia="Arial Unicode MS" w:cs="Arial Unicode MS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>询电：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  <w:lang w:val="en-US" w:eastAsia="zh-CN"/>
              </w:rPr>
              <w:t>周 峰</w:t>
            </w:r>
            <w:r>
              <w:rPr>
                <w:rFonts w:hint="eastAsia" w:ascii="Arial Unicode MS" w:hAnsi="Arial Unicode MS" w:eastAsia="Arial Unicode MS" w:cs="Arial Unicode MS"/>
                <w:sz w:val="28"/>
                <w:szCs w:val="28"/>
              </w:rPr>
              <w:t xml:space="preserve"> 010-63801591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50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line="340" w:lineRule="exact"/>
      <w:ind w:left="-150" w:right="-150"/>
    </w:pPr>
    <w:rPr>
      <w:b/>
      <w:bCs/>
      <w:sz w:val="24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17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老周</dc:creator>
  <cp:lastModifiedBy>魏金辉</cp:lastModifiedBy>
  <dcterms:modified xsi:type="dcterms:W3CDTF">2020-05-20T07:43:04Z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